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page" w:tblpX="1909" w:tblpY="1096"/>
        <w:tblW w:w="0" w:type="auto"/>
        <w:tblLook w:val="00BF"/>
      </w:tblPr>
      <w:tblGrid>
        <w:gridCol w:w="2952"/>
        <w:gridCol w:w="2952"/>
        <w:gridCol w:w="2952"/>
      </w:tblGrid>
      <w:tr w:rsidR="007115D0">
        <w:trPr>
          <w:trHeight w:val="350"/>
        </w:trPr>
        <w:tc>
          <w:tcPr>
            <w:tcW w:w="2952" w:type="dxa"/>
          </w:tcPr>
          <w:p w:rsidR="007115D0" w:rsidRDefault="007115D0" w:rsidP="007115D0">
            <w:r>
              <w:t>Standard</w:t>
            </w:r>
          </w:p>
        </w:tc>
        <w:tc>
          <w:tcPr>
            <w:tcW w:w="2952" w:type="dxa"/>
          </w:tcPr>
          <w:p w:rsidR="007115D0" w:rsidRDefault="007115D0" w:rsidP="007115D0">
            <w:r>
              <w:t xml:space="preserve">Course example </w:t>
            </w:r>
          </w:p>
        </w:tc>
        <w:tc>
          <w:tcPr>
            <w:tcW w:w="2952" w:type="dxa"/>
          </w:tcPr>
          <w:p w:rsidR="007115D0" w:rsidRDefault="007115D0" w:rsidP="007115D0">
            <w:r>
              <w:t xml:space="preserve">Explanation </w:t>
            </w:r>
          </w:p>
        </w:tc>
      </w:tr>
      <w:tr w:rsidR="007115D0">
        <w:tc>
          <w:tcPr>
            <w:tcW w:w="2952" w:type="dxa"/>
          </w:tcPr>
          <w:p w:rsidR="007115D0" w:rsidRDefault="007115D0" w:rsidP="007115D0">
            <w:pPr>
              <w:rPr>
                <w:rFonts w:ascii="Times New Roman" w:hAnsi="Times New Roman" w:cs="Times New Roman"/>
                <w:sz w:val="22"/>
                <w:szCs w:val="22"/>
              </w:rPr>
            </w:pPr>
            <w:r>
              <w:rPr>
                <w:rFonts w:ascii="Times New Roman" w:hAnsi="Times New Roman" w:cs="Times New Roman"/>
                <w:sz w:val="22"/>
                <w:szCs w:val="22"/>
              </w:rPr>
              <w:t>2. Communication and Collaboration</w:t>
            </w:r>
          </w:p>
          <w:p w:rsidR="007115D0" w:rsidRDefault="007115D0" w:rsidP="007115D0">
            <w:r>
              <w:rPr>
                <w:rFonts w:ascii="Times New Roman" w:hAnsi="Times New Roman" w:cs="Times New Roman"/>
                <w:sz w:val="22"/>
                <w:szCs w:val="22"/>
              </w:rPr>
              <w:t xml:space="preserve">       b. </w:t>
            </w:r>
            <w:proofErr w:type="gramStart"/>
            <w:r>
              <w:rPr>
                <w:rFonts w:ascii="Times New Roman" w:hAnsi="Times New Roman" w:cs="Times New Roman"/>
                <w:sz w:val="22"/>
                <w:szCs w:val="22"/>
              </w:rPr>
              <w:t>communicate</w:t>
            </w:r>
            <w:proofErr w:type="gramEnd"/>
            <w:r>
              <w:rPr>
                <w:rFonts w:ascii="Times New Roman" w:hAnsi="Times New Roman" w:cs="Times New Roman"/>
                <w:sz w:val="22"/>
                <w:szCs w:val="22"/>
              </w:rPr>
              <w:t xml:space="preserve"> information and ideas effectively to multiple audiences using a variety of media and formats</w:t>
            </w:r>
          </w:p>
        </w:tc>
        <w:tc>
          <w:tcPr>
            <w:tcW w:w="2952" w:type="dxa"/>
          </w:tcPr>
          <w:p w:rsidR="009E107B" w:rsidRDefault="009E107B" w:rsidP="007115D0">
            <w:r>
              <w:t xml:space="preserve">Step 1.5 </w:t>
            </w:r>
            <w:hyperlink r:id="rId4" w:history="1">
              <w:proofErr w:type="spellStart"/>
              <w:r>
                <w:rPr>
                  <w:rStyle w:val="Hyperlink"/>
                  <w:rFonts w:ascii="ヒラギノ丸ゴ Pro W4" w:eastAsia="ヒラギノ丸ゴ Pro W4" w:hAnsi="ヒラギノ丸ゴ Pro W4" w:cs="ヒラギノ丸ゴ Pro W4" w:hint="eastAsia"/>
                </w:rPr>
                <w:t>肯德基</w:t>
              </w:r>
              <w:r>
                <w:rPr>
                  <w:rStyle w:val="Hyperlink"/>
                </w:rPr>
                <w:t>/</w:t>
              </w:r>
              <w:r>
                <w:rPr>
                  <w:rStyle w:val="Hyperlink"/>
                  <w:rFonts w:ascii="ヒラギノ丸ゴ Pro W4" w:eastAsia="ヒラギノ丸ゴ Pro W4" w:hAnsi="ヒラギノ丸ゴ Pro W4" w:cs="ヒラギノ丸ゴ Pro W4" w:hint="eastAsia"/>
                </w:rPr>
                <w:t>麦当</w:t>
              </w:r>
              <w:r>
                <w:rPr>
                  <w:rStyle w:val="Hyperlink"/>
                  <w:rFonts w:ascii="新細明體" w:eastAsia="新細明體" w:hAnsi="新細明體" w:cs="新細明體" w:hint="eastAsia"/>
                </w:rPr>
                <w:t>劳</w:t>
              </w:r>
              <w:r>
                <w:rPr>
                  <w:rStyle w:val="Hyperlink"/>
                  <w:rFonts w:ascii="ヒラギノ丸ゴ Pro W4" w:eastAsia="ヒラギノ丸ゴ Pro W4" w:hAnsi="ヒラギノ丸ゴ Pro W4" w:cs="ヒラギノ丸ゴ Pro W4" w:hint="eastAsia"/>
                </w:rPr>
                <w:t>的网站</w:t>
              </w:r>
              <w:proofErr w:type="spellEnd"/>
              <w:r>
                <w:rPr>
                  <w:rStyle w:val="Hyperlink"/>
                </w:rPr>
                <w:t xml:space="preserve"> </w:t>
              </w:r>
            </w:hyperlink>
          </w:p>
          <w:p w:rsidR="009E107B" w:rsidRDefault="009E107B" w:rsidP="007115D0"/>
          <w:p w:rsidR="007115D0" w:rsidRDefault="007115D0" w:rsidP="007115D0"/>
        </w:tc>
        <w:tc>
          <w:tcPr>
            <w:tcW w:w="2952" w:type="dxa"/>
          </w:tcPr>
          <w:p w:rsidR="007115D0" w:rsidRDefault="003B5361" w:rsidP="003B5361">
            <w:r>
              <w:t xml:space="preserve">Students will be posting on forum both in and outside of the </w:t>
            </w:r>
            <w:proofErr w:type="spellStart"/>
            <w:r>
              <w:t>moodle</w:t>
            </w:r>
            <w:proofErr w:type="spellEnd"/>
            <w:r>
              <w:t xml:space="preserve"> format. They will be required to explain their opinions in English, and Chinese to the teacher, classmate and the public.</w:t>
            </w:r>
          </w:p>
        </w:tc>
      </w:tr>
      <w:tr w:rsidR="007115D0">
        <w:tc>
          <w:tcPr>
            <w:tcW w:w="2952" w:type="dxa"/>
          </w:tcPr>
          <w:p w:rsidR="007115D0" w:rsidRDefault="007115D0" w:rsidP="007115D0">
            <w:pPr>
              <w:rPr>
                <w:rFonts w:ascii="Times New Roman" w:hAnsi="Times New Roman" w:cs="Times New Roman"/>
                <w:sz w:val="22"/>
                <w:szCs w:val="22"/>
              </w:rPr>
            </w:pPr>
            <w:r>
              <w:rPr>
                <w:rFonts w:ascii="Times New Roman" w:hAnsi="Times New Roman" w:cs="Times New Roman"/>
                <w:sz w:val="22"/>
                <w:szCs w:val="22"/>
              </w:rPr>
              <w:t>3. Research and Information Fluency</w:t>
            </w:r>
          </w:p>
          <w:p w:rsidR="007115D0" w:rsidRDefault="007115D0" w:rsidP="007115D0">
            <w:r>
              <w:rPr>
                <w:rFonts w:ascii="Times New Roman" w:hAnsi="Times New Roman" w:cs="Times New Roman"/>
                <w:sz w:val="22"/>
                <w:szCs w:val="22"/>
              </w:rPr>
              <w:t xml:space="preserve">     c. </w:t>
            </w:r>
            <w:proofErr w:type="gramStart"/>
            <w:r>
              <w:rPr>
                <w:rFonts w:ascii="Times New Roman" w:hAnsi="Times New Roman" w:cs="Times New Roman"/>
                <w:sz w:val="22"/>
                <w:szCs w:val="22"/>
              </w:rPr>
              <w:t>evaluate</w:t>
            </w:r>
            <w:proofErr w:type="gramEnd"/>
            <w:r>
              <w:rPr>
                <w:rFonts w:ascii="Times New Roman" w:hAnsi="Times New Roman" w:cs="Times New Roman"/>
                <w:sz w:val="22"/>
                <w:szCs w:val="22"/>
              </w:rPr>
              <w:t xml:space="preserve"> and select information sources and digital tools based on the appropriateness to specific tasks</w:t>
            </w:r>
          </w:p>
        </w:tc>
        <w:tc>
          <w:tcPr>
            <w:tcW w:w="2952" w:type="dxa"/>
          </w:tcPr>
          <w:p w:rsidR="007115D0" w:rsidRDefault="009E107B" w:rsidP="007115D0">
            <w:r>
              <w:t xml:space="preserve">Step 10.2 A Day in Shanghai </w:t>
            </w:r>
          </w:p>
        </w:tc>
        <w:tc>
          <w:tcPr>
            <w:tcW w:w="2952" w:type="dxa"/>
          </w:tcPr>
          <w:p w:rsidR="007115D0" w:rsidRDefault="003B5361" w:rsidP="007115D0">
            <w:r>
              <w:t xml:space="preserve">Students will use the web to research places and destinations within China and the world. They will be required to share where the found the information and websites with their classmates and the public. </w:t>
            </w:r>
          </w:p>
        </w:tc>
      </w:tr>
      <w:tr w:rsidR="007115D0">
        <w:tc>
          <w:tcPr>
            <w:tcW w:w="2952" w:type="dxa"/>
          </w:tcPr>
          <w:p w:rsidR="007115D0" w:rsidRDefault="007115D0" w:rsidP="007115D0">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Digital Citizenship</w:t>
            </w:r>
          </w:p>
          <w:p w:rsidR="007115D0" w:rsidRDefault="007115D0" w:rsidP="007115D0">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Students understand human, cultural, and societal issues related to technology and practice legal and ethical</w:t>
            </w:r>
          </w:p>
          <w:p w:rsidR="007115D0" w:rsidRDefault="007115D0" w:rsidP="007115D0">
            <w:pPr>
              <w:widowControl w:val="0"/>
              <w:autoSpaceDE w:val="0"/>
              <w:autoSpaceDN w:val="0"/>
              <w:adjustRightInd w:val="0"/>
              <w:rPr>
                <w:rFonts w:ascii="Times New Roman" w:hAnsi="Times New Roman" w:cs="Times New Roman"/>
                <w:sz w:val="22"/>
                <w:szCs w:val="22"/>
              </w:rPr>
            </w:pPr>
            <w:proofErr w:type="gramStart"/>
            <w:r>
              <w:rPr>
                <w:rFonts w:ascii="Times New Roman" w:hAnsi="Times New Roman" w:cs="Times New Roman"/>
                <w:sz w:val="22"/>
                <w:szCs w:val="22"/>
              </w:rPr>
              <w:t>behavior</w:t>
            </w:r>
            <w:proofErr w:type="gramEnd"/>
            <w:r>
              <w:rPr>
                <w:rFonts w:ascii="Times New Roman" w:hAnsi="Times New Roman" w:cs="Times New Roman"/>
                <w:sz w:val="22"/>
                <w:szCs w:val="22"/>
              </w:rPr>
              <w:t>. Students:</w:t>
            </w:r>
          </w:p>
          <w:p w:rsidR="007115D0" w:rsidRDefault="007115D0" w:rsidP="007115D0">
            <w:r>
              <w:rPr>
                <w:rFonts w:ascii="Times New Roman" w:hAnsi="Times New Roman" w:cs="Times New Roman"/>
                <w:sz w:val="22"/>
                <w:szCs w:val="22"/>
              </w:rPr>
              <w:t xml:space="preserve">       a. </w:t>
            </w:r>
            <w:proofErr w:type="gramStart"/>
            <w:r>
              <w:rPr>
                <w:rFonts w:ascii="Times New Roman" w:hAnsi="Times New Roman" w:cs="Times New Roman"/>
                <w:sz w:val="22"/>
                <w:szCs w:val="22"/>
              </w:rPr>
              <w:t>advocate</w:t>
            </w:r>
            <w:proofErr w:type="gramEnd"/>
            <w:r>
              <w:rPr>
                <w:rFonts w:ascii="Times New Roman" w:hAnsi="Times New Roman" w:cs="Times New Roman"/>
                <w:sz w:val="22"/>
                <w:szCs w:val="22"/>
              </w:rPr>
              <w:t xml:space="preserve"> and practice safe, legal, and responsible use of information and technology</w:t>
            </w:r>
          </w:p>
        </w:tc>
        <w:tc>
          <w:tcPr>
            <w:tcW w:w="2952" w:type="dxa"/>
          </w:tcPr>
          <w:p w:rsidR="007115D0" w:rsidRDefault="009E107B" w:rsidP="007115D0">
            <w:r>
              <w:t xml:space="preserve">Step 10.2 A Day in Shanghai </w:t>
            </w:r>
          </w:p>
        </w:tc>
        <w:tc>
          <w:tcPr>
            <w:tcW w:w="2952" w:type="dxa"/>
          </w:tcPr>
          <w:p w:rsidR="007115D0" w:rsidRDefault="003B5361" w:rsidP="007115D0">
            <w:r>
              <w:t xml:space="preserve">The students will be working in public online forums and sites. They will be required to treat each other and other public users with respect and site the websites or sources they use within their own websites. </w:t>
            </w:r>
          </w:p>
        </w:tc>
      </w:tr>
    </w:tbl>
    <w:p w:rsidR="007115D0" w:rsidRPr="00C418E5" w:rsidRDefault="007115D0">
      <w:pPr>
        <w:rPr>
          <w:color w:val="000000" w:themeColor="text1"/>
        </w:rPr>
      </w:pPr>
    </w:p>
    <w:p w:rsidR="007115D0" w:rsidRPr="00C418E5" w:rsidRDefault="00C418E5">
      <w:pPr>
        <w:rPr>
          <w:color w:val="000000" w:themeColor="text1"/>
        </w:rPr>
      </w:pPr>
      <w:r w:rsidRPr="00C418E5">
        <w:rPr>
          <w:rFonts w:cs="Times New Roman"/>
          <w:color w:val="000000" w:themeColor="text1"/>
          <w:szCs w:val="40"/>
        </w:rPr>
        <w:t>The ISTE NETS and Performance Indicators</w:t>
      </w:r>
    </w:p>
    <w:p w:rsidR="007115D0" w:rsidRDefault="007115D0"/>
    <w:p w:rsidR="007115D0" w:rsidRDefault="007115D0"/>
    <w:p w:rsidR="007115D0" w:rsidRDefault="007115D0"/>
    <w:p w:rsidR="007115D0" w:rsidRDefault="007115D0"/>
    <w:p w:rsidR="007115D0" w:rsidRDefault="007115D0"/>
    <w:p w:rsidR="007115D0" w:rsidRDefault="007115D0">
      <w:r>
        <w:t xml:space="preserve">Foreign Language Standards (5 C’s) </w:t>
      </w:r>
    </w:p>
    <w:p w:rsidR="007115D0" w:rsidRDefault="007115D0"/>
    <w:tbl>
      <w:tblPr>
        <w:tblStyle w:val="TableGrid"/>
        <w:tblW w:w="0" w:type="auto"/>
        <w:tblLook w:val="00BF"/>
      </w:tblPr>
      <w:tblGrid>
        <w:gridCol w:w="2912"/>
        <w:gridCol w:w="2912"/>
        <w:gridCol w:w="2912"/>
      </w:tblGrid>
      <w:tr w:rsidR="007115D0">
        <w:trPr>
          <w:trHeight w:val="519"/>
        </w:trPr>
        <w:tc>
          <w:tcPr>
            <w:tcW w:w="2912" w:type="dxa"/>
          </w:tcPr>
          <w:p w:rsidR="007115D0" w:rsidRDefault="007115D0">
            <w:r>
              <w:t>Standard</w:t>
            </w:r>
          </w:p>
        </w:tc>
        <w:tc>
          <w:tcPr>
            <w:tcW w:w="2912" w:type="dxa"/>
          </w:tcPr>
          <w:p w:rsidR="007115D0" w:rsidRDefault="007115D0">
            <w:r>
              <w:t xml:space="preserve">Course Example </w:t>
            </w:r>
          </w:p>
        </w:tc>
        <w:tc>
          <w:tcPr>
            <w:tcW w:w="2912" w:type="dxa"/>
          </w:tcPr>
          <w:p w:rsidR="007115D0" w:rsidRDefault="007115D0">
            <w:r>
              <w:t xml:space="preserve">Explanation </w:t>
            </w:r>
          </w:p>
          <w:p w:rsidR="007115D0" w:rsidRDefault="007115D0"/>
        </w:tc>
      </w:tr>
      <w:tr w:rsidR="007115D0">
        <w:trPr>
          <w:trHeight w:val="519"/>
        </w:trPr>
        <w:tc>
          <w:tcPr>
            <w:tcW w:w="2912" w:type="dxa"/>
          </w:tcPr>
          <w:p w:rsidR="007115D0" w:rsidRDefault="007115D0" w:rsidP="007115D0">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Standard 1.1: Students engage in conversations,</w:t>
            </w:r>
          </w:p>
          <w:p w:rsidR="007115D0" w:rsidRDefault="007115D0" w:rsidP="007115D0">
            <w:pPr>
              <w:widowControl w:val="0"/>
              <w:autoSpaceDE w:val="0"/>
              <w:autoSpaceDN w:val="0"/>
              <w:adjustRightInd w:val="0"/>
              <w:rPr>
                <w:rFonts w:ascii="Times New Roman" w:hAnsi="Times New Roman" w:cs="Times New Roman"/>
                <w:sz w:val="22"/>
                <w:szCs w:val="22"/>
              </w:rPr>
            </w:pPr>
            <w:proofErr w:type="gramStart"/>
            <w:r>
              <w:rPr>
                <w:rFonts w:ascii="Times New Roman" w:hAnsi="Times New Roman" w:cs="Times New Roman"/>
                <w:sz w:val="22"/>
                <w:szCs w:val="22"/>
              </w:rPr>
              <w:t>provide</w:t>
            </w:r>
            <w:proofErr w:type="gramEnd"/>
            <w:r>
              <w:rPr>
                <w:rFonts w:ascii="Times New Roman" w:hAnsi="Times New Roman" w:cs="Times New Roman"/>
                <w:sz w:val="22"/>
                <w:szCs w:val="22"/>
              </w:rPr>
              <w:t xml:space="preserve"> and obtain information,</w:t>
            </w:r>
          </w:p>
          <w:p w:rsidR="007115D0" w:rsidRDefault="007115D0" w:rsidP="007115D0">
            <w:proofErr w:type="gramStart"/>
            <w:r>
              <w:rPr>
                <w:rFonts w:ascii="Times New Roman" w:hAnsi="Times New Roman" w:cs="Times New Roman"/>
                <w:sz w:val="22"/>
                <w:szCs w:val="22"/>
              </w:rPr>
              <w:t>express</w:t>
            </w:r>
            <w:proofErr w:type="gramEnd"/>
            <w:r>
              <w:rPr>
                <w:rFonts w:ascii="Times New Roman" w:hAnsi="Times New Roman" w:cs="Times New Roman"/>
                <w:sz w:val="22"/>
                <w:szCs w:val="22"/>
              </w:rPr>
              <w:t xml:space="preserve"> feelings and emotions, and exchange opinions.</w:t>
            </w:r>
          </w:p>
        </w:tc>
        <w:tc>
          <w:tcPr>
            <w:tcW w:w="2912" w:type="dxa"/>
          </w:tcPr>
          <w:p w:rsidR="007115D0" w:rsidRDefault="009E107B">
            <w:r>
              <w:t xml:space="preserve">Step 3 </w:t>
            </w:r>
            <w:proofErr w:type="spellStart"/>
            <w:r>
              <w:t>Baozi</w:t>
            </w:r>
            <w:proofErr w:type="spellEnd"/>
            <w:r>
              <w:t xml:space="preserve"> Seller</w:t>
            </w:r>
          </w:p>
        </w:tc>
        <w:tc>
          <w:tcPr>
            <w:tcW w:w="2912" w:type="dxa"/>
          </w:tcPr>
          <w:p w:rsidR="007115D0" w:rsidRDefault="003B5361">
            <w:r>
              <w:t xml:space="preserve">The students will be using websites and information provided by the instructor and found on their own to engage in online conversations about the target language and culture. Sometimes the discussion will take place in English, but more often in the target language. </w:t>
            </w:r>
          </w:p>
        </w:tc>
      </w:tr>
      <w:tr w:rsidR="007115D0">
        <w:trPr>
          <w:trHeight w:val="519"/>
        </w:trPr>
        <w:tc>
          <w:tcPr>
            <w:tcW w:w="2912" w:type="dxa"/>
          </w:tcPr>
          <w:p w:rsidR="007115D0" w:rsidRDefault="007115D0" w:rsidP="007115D0">
            <w:r>
              <w:rPr>
                <w:rFonts w:ascii="Times New Roman" w:hAnsi="Times New Roman" w:cs="Times New Roman"/>
                <w:color w:val="D14100"/>
                <w:sz w:val="20"/>
                <w:szCs w:val="20"/>
              </w:rPr>
              <w:t>1.3 Students present information, concepts, and ideas to an audience of listeners or readers on a variety of topics.</w:t>
            </w:r>
          </w:p>
        </w:tc>
        <w:tc>
          <w:tcPr>
            <w:tcW w:w="2912" w:type="dxa"/>
          </w:tcPr>
          <w:p w:rsidR="009E107B" w:rsidRDefault="009E107B">
            <w:r>
              <w:t xml:space="preserve">Step </w:t>
            </w:r>
            <w:proofErr w:type="gramStart"/>
            <w:r>
              <w:t xml:space="preserve">3  </w:t>
            </w:r>
            <w:proofErr w:type="spellStart"/>
            <w:r>
              <w:t>Baozi</w:t>
            </w:r>
            <w:proofErr w:type="spellEnd"/>
            <w:proofErr w:type="gramEnd"/>
            <w:r>
              <w:t xml:space="preserve"> seller</w:t>
            </w:r>
          </w:p>
          <w:p w:rsidR="009E107B" w:rsidRDefault="009E107B"/>
          <w:p w:rsidR="007115D0" w:rsidRDefault="009E107B">
            <w:r>
              <w:t xml:space="preserve">Step 6.2 </w:t>
            </w:r>
          </w:p>
        </w:tc>
        <w:tc>
          <w:tcPr>
            <w:tcW w:w="2912" w:type="dxa"/>
          </w:tcPr>
          <w:p w:rsidR="007115D0" w:rsidRDefault="007115D0">
            <w:r>
              <w:t>Through the conversation studied the students are learning about Chinese religions and temples</w:t>
            </w:r>
            <w:r w:rsidR="003B5361">
              <w:t xml:space="preserve">, parks, food and dynasties etc. </w:t>
            </w:r>
          </w:p>
        </w:tc>
      </w:tr>
      <w:tr w:rsidR="007115D0">
        <w:trPr>
          <w:trHeight w:val="519"/>
        </w:trPr>
        <w:tc>
          <w:tcPr>
            <w:tcW w:w="2912" w:type="dxa"/>
          </w:tcPr>
          <w:p w:rsidR="007115D0" w:rsidRDefault="007115D0" w:rsidP="007115D0">
            <w:pPr>
              <w:widowControl w:val="0"/>
              <w:autoSpaceDE w:val="0"/>
              <w:autoSpaceDN w:val="0"/>
              <w:adjustRightInd w:val="0"/>
              <w:rPr>
                <w:rFonts w:ascii="Times New Roman" w:hAnsi="Times New Roman" w:cs="Times New Roman"/>
                <w:color w:val="D14100"/>
                <w:sz w:val="20"/>
                <w:szCs w:val="20"/>
              </w:rPr>
            </w:pPr>
            <w:r>
              <w:rPr>
                <w:rFonts w:ascii="Times New Roman" w:hAnsi="Times New Roman" w:cs="Times New Roman"/>
                <w:color w:val="D14100"/>
                <w:sz w:val="20"/>
                <w:szCs w:val="20"/>
              </w:rPr>
              <w:t>2.2 Students demonstrate an understanding of the</w:t>
            </w:r>
          </w:p>
          <w:p w:rsidR="007115D0" w:rsidRDefault="007115D0" w:rsidP="007115D0">
            <w:pPr>
              <w:widowControl w:val="0"/>
              <w:autoSpaceDE w:val="0"/>
              <w:autoSpaceDN w:val="0"/>
              <w:adjustRightInd w:val="0"/>
              <w:rPr>
                <w:rFonts w:ascii="Times New Roman" w:hAnsi="Times New Roman" w:cs="Times New Roman"/>
                <w:color w:val="D14100"/>
                <w:sz w:val="20"/>
                <w:szCs w:val="20"/>
              </w:rPr>
            </w:pPr>
            <w:proofErr w:type="gramStart"/>
            <w:r>
              <w:rPr>
                <w:rFonts w:ascii="Times New Roman" w:hAnsi="Times New Roman" w:cs="Times New Roman"/>
                <w:color w:val="D14100"/>
                <w:sz w:val="20"/>
                <w:szCs w:val="20"/>
              </w:rPr>
              <w:t>relationship</w:t>
            </w:r>
            <w:proofErr w:type="gramEnd"/>
            <w:r>
              <w:rPr>
                <w:rFonts w:ascii="Times New Roman" w:hAnsi="Times New Roman" w:cs="Times New Roman"/>
                <w:color w:val="D14100"/>
                <w:sz w:val="20"/>
                <w:szCs w:val="20"/>
              </w:rPr>
              <w:t xml:space="preserve"> between the products and perspectives</w:t>
            </w:r>
          </w:p>
          <w:p w:rsidR="007115D0" w:rsidRDefault="007115D0" w:rsidP="007115D0">
            <w:pPr>
              <w:widowControl w:val="0"/>
              <w:autoSpaceDE w:val="0"/>
              <w:autoSpaceDN w:val="0"/>
              <w:adjustRightInd w:val="0"/>
            </w:pPr>
            <w:proofErr w:type="gramStart"/>
            <w:r>
              <w:rPr>
                <w:rFonts w:ascii="Times New Roman" w:hAnsi="Times New Roman" w:cs="Times New Roman"/>
                <w:color w:val="D14100"/>
                <w:sz w:val="20"/>
                <w:szCs w:val="20"/>
              </w:rPr>
              <w:t>of</w:t>
            </w:r>
            <w:proofErr w:type="gramEnd"/>
            <w:r>
              <w:rPr>
                <w:rFonts w:ascii="Times New Roman" w:hAnsi="Times New Roman" w:cs="Times New Roman"/>
                <w:color w:val="D14100"/>
                <w:sz w:val="20"/>
                <w:szCs w:val="20"/>
              </w:rPr>
              <w:t xml:space="preserve"> the culture studied.</w:t>
            </w:r>
          </w:p>
        </w:tc>
        <w:tc>
          <w:tcPr>
            <w:tcW w:w="2912" w:type="dxa"/>
          </w:tcPr>
          <w:p w:rsidR="009E107B" w:rsidRDefault="009E107B">
            <w:r>
              <w:t xml:space="preserve">Step 3 </w:t>
            </w:r>
            <w:proofErr w:type="spellStart"/>
            <w:r>
              <w:t>Baozi</w:t>
            </w:r>
            <w:proofErr w:type="spellEnd"/>
            <w:r>
              <w:t xml:space="preserve"> seller</w:t>
            </w:r>
          </w:p>
          <w:p w:rsidR="009E107B" w:rsidRDefault="009E107B"/>
          <w:p w:rsidR="009E107B" w:rsidRDefault="009E107B"/>
          <w:p w:rsidR="007115D0" w:rsidRDefault="009E107B">
            <w:r>
              <w:t xml:space="preserve">Step 6.2 </w:t>
            </w:r>
          </w:p>
        </w:tc>
        <w:tc>
          <w:tcPr>
            <w:tcW w:w="2912" w:type="dxa"/>
          </w:tcPr>
          <w:p w:rsidR="007115D0" w:rsidRDefault="003B5361">
            <w:r>
              <w:t xml:space="preserve">Students will learn about common foods and types of souvenirs that are common in China. They will be introduced to both traditional products and modern Chinese Shopping culture. </w:t>
            </w:r>
          </w:p>
        </w:tc>
      </w:tr>
      <w:tr w:rsidR="007115D0">
        <w:trPr>
          <w:trHeight w:val="519"/>
        </w:trPr>
        <w:tc>
          <w:tcPr>
            <w:tcW w:w="2912" w:type="dxa"/>
          </w:tcPr>
          <w:p w:rsidR="007115D0" w:rsidRDefault="007115D0" w:rsidP="007115D0">
            <w:pPr>
              <w:widowControl w:val="0"/>
              <w:autoSpaceDE w:val="0"/>
              <w:autoSpaceDN w:val="0"/>
              <w:adjustRightInd w:val="0"/>
              <w:rPr>
                <w:rFonts w:ascii="Times New Roman" w:hAnsi="Times New Roman" w:cs="Times New Roman"/>
                <w:color w:val="D14100"/>
                <w:sz w:val="20"/>
                <w:szCs w:val="20"/>
              </w:rPr>
            </w:pPr>
            <w:r>
              <w:rPr>
                <w:rFonts w:ascii="Times New Roman" w:hAnsi="Times New Roman" w:cs="Times New Roman"/>
                <w:color w:val="D14100"/>
                <w:sz w:val="20"/>
                <w:szCs w:val="20"/>
              </w:rPr>
              <w:t>5.2 Students show evidence of becoming lifelong</w:t>
            </w:r>
            <w:r w:rsidR="003B5361">
              <w:rPr>
                <w:rFonts w:ascii="Times New Roman" w:hAnsi="Times New Roman" w:cs="Times New Roman"/>
                <w:color w:val="D14100"/>
                <w:sz w:val="20"/>
                <w:szCs w:val="20"/>
              </w:rPr>
              <w:t xml:space="preserve"> </w:t>
            </w:r>
            <w:r>
              <w:rPr>
                <w:rFonts w:ascii="Times New Roman" w:hAnsi="Times New Roman" w:cs="Times New Roman"/>
                <w:color w:val="D14100"/>
                <w:sz w:val="20"/>
                <w:szCs w:val="20"/>
              </w:rPr>
              <w:t xml:space="preserve">learners by </w:t>
            </w:r>
            <w:r w:rsidR="003B5361">
              <w:rPr>
                <w:rFonts w:ascii="Times New Roman" w:hAnsi="Times New Roman" w:cs="Times New Roman"/>
                <w:color w:val="D14100"/>
                <w:sz w:val="20"/>
                <w:szCs w:val="20"/>
              </w:rPr>
              <w:t xml:space="preserve">using the language for personal </w:t>
            </w:r>
            <w:r>
              <w:rPr>
                <w:rFonts w:ascii="Times New Roman" w:hAnsi="Times New Roman" w:cs="Times New Roman"/>
                <w:color w:val="D14100"/>
                <w:sz w:val="20"/>
                <w:szCs w:val="20"/>
              </w:rPr>
              <w:t>enjoyment and enrichment.</w:t>
            </w:r>
          </w:p>
          <w:p w:rsidR="007115D0" w:rsidRDefault="007115D0" w:rsidP="007115D0">
            <w:pPr>
              <w:widowControl w:val="0"/>
              <w:autoSpaceDE w:val="0"/>
              <w:autoSpaceDN w:val="0"/>
              <w:adjustRightInd w:val="0"/>
              <w:rPr>
                <w:rFonts w:ascii="Times New Roman" w:hAnsi="Times New Roman" w:cs="Times New Roman"/>
                <w:color w:val="D14100"/>
                <w:sz w:val="20"/>
                <w:szCs w:val="20"/>
              </w:rPr>
            </w:pPr>
          </w:p>
        </w:tc>
        <w:tc>
          <w:tcPr>
            <w:tcW w:w="2912" w:type="dxa"/>
          </w:tcPr>
          <w:p w:rsidR="009E107B" w:rsidRDefault="009E107B">
            <w:r>
              <w:t>Step 8.2</w:t>
            </w:r>
          </w:p>
          <w:p w:rsidR="009E107B" w:rsidRDefault="009E107B"/>
          <w:p w:rsidR="007115D0" w:rsidRDefault="009E107B">
            <w:r>
              <w:t xml:space="preserve">Step 9.2 </w:t>
            </w:r>
          </w:p>
        </w:tc>
        <w:tc>
          <w:tcPr>
            <w:tcW w:w="2912" w:type="dxa"/>
          </w:tcPr>
          <w:p w:rsidR="007115D0" w:rsidRDefault="003B5361">
            <w:r>
              <w:t xml:space="preserve">Students will engage in a fake prospective trip to Shanghai. The will acknowledge that they someday may to have the opportunity to travel abroad and use the target language in the future. </w:t>
            </w:r>
          </w:p>
        </w:tc>
      </w:tr>
    </w:tbl>
    <w:p w:rsidR="007115D0" w:rsidRDefault="007115D0"/>
    <w:sectPr w:rsidR="007115D0" w:rsidSect="007115D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ヒラギノ丸ゴ Pro W4">
    <w:altName w:val="ヒラギノ丸ゴ Pro W4"/>
    <w:charset w:val="4E"/>
    <w:family w:val="auto"/>
    <w:pitch w:val="variable"/>
    <w:sig w:usb0="00000001" w:usb1="00000000" w:usb2="01000407" w:usb3="00000000" w:csb0="00020000" w:csb1="00000000"/>
  </w:font>
  <w:font w:name="新細明體">
    <w:charset w:val="51"/>
    <w:family w:val="auto"/>
    <w:pitch w:val="variable"/>
    <w:sig w:usb0="00000001" w:usb1="00000000" w:usb2="01000408" w:usb3="00000000" w:csb0="001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115D0"/>
    <w:rsid w:val="003B5361"/>
    <w:rsid w:val="007115D0"/>
    <w:rsid w:val="009E107B"/>
    <w:rsid w:val="00C418E5"/>
    <w:rsid w:val="00F02574"/>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A5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7115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rsid w:val="009E107B"/>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hyperlink" Target="http://moodle.district287.org/mod/forum/view.php?id=9839"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410</Words>
  <Characters>2341</Characters>
  <Application>Microsoft Macintosh Word</Application>
  <DocSecurity>0</DocSecurity>
  <Lines>19</Lines>
  <Paragraphs>4</Paragraphs>
  <ScaleCrop>false</ScaleCrop>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Work</cp:lastModifiedBy>
  <cp:revision>3</cp:revision>
  <dcterms:created xsi:type="dcterms:W3CDTF">2011-06-08T19:23:00Z</dcterms:created>
  <dcterms:modified xsi:type="dcterms:W3CDTF">2011-06-08T20:13:00Z</dcterms:modified>
</cp:coreProperties>
</file>