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2C27" w14:textId="77777777" w:rsidR="0027239C" w:rsidRDefault="00474982" w:rsidP="00474982">
      <w:pPr>
        <w:pStyle w:val="Title"/>
      </w:pPr>
      <w:r>
        <w:t>Unit Plan - Organization</w:t>
      </w:r>
    </w:p>
    <w:p w14:paraId="07BD8F84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0E37690A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There is a Junior (ages 8-12) available.</w:t>
      </w:r>
    </w:p>
    <w:p w14:paraId="7EC54CF1" w14:textId="77777777" w:rsidR="0027239C" w:rsidRDefault="0047498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7225AF1C" w14:textId="77777777" w:rsidR="0027239C" w:rsidRDefault="0047498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3.1 Resource Management</w:t>
      </w:r>
    </w:p>
    <w:p w14:paraId="2ABBC53A" w14:textId="77777777" w:rsidR="0027239C" w:rsidRDefault="0047498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Resource management is often a component of project-based learning and collaborative group work but can also apply to how an individual student manages class time.</w:t>
      </w:r>
    </w:p>
    <w:p w14:paraId="008A05E2" w14:textId="77777777" w:rsidR="00474982" w:rsidRDefault="00474982">
      <w:pPr>
        <w:pStyle w:val="normal0"/>
        <w:widowControl w:val="0"/>
        <w:rPr>
          <w:rFonts w:ascii="Roboto" w:eastAsia="Roboto" w:hAnsi="Roboto" w:cs="Roboto"/>
          <w:b/>
        </w:rPr>
      </w:pPr>
    </w:p>
    <w:p w14:paraId="4A107156" w14:textId="77777777" w:rsidR="00474982" w:rsidRDefault="0047498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73D8DFF5" w14:textId="77777777" w:rsidR="0027239C" w:rsidRDefault="0047498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3.1.2 Manages money</w:t>
      </w:r>
    </w:p>
    <w:p w14:paraId="6214BF00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manage money in group projects requiring allocation of limited finances and resources (i.e. designing/marketing a toy, flipping a house, or planning a trip).</w:t>
      </w:r>
    </w:p>
    <w:p w14:paraId="50F04CB9" w14:textId="77777777" w:rsidR="00474982" w:rsidRPr="00474982" w:rsidRDefault="00474982">
      <w:pPr>
        <w:pStyle w:val="normal0"/>
        <w:widowControl w:val="0"/>
        <w:spacing w:after="160"/>
        <w:rPr>
          <w:rFonts w:ascii="Roboto" w:eastAsia="Roboto" w:hAnsi="Roboto" w:cs="Roboto"/>
        </w:rPr>
      </w:pPr>
    </w:p>
    <w:p w14:paraId="2DBC3A5D" w14:textId="77777777" w:rsidR="0027239C" w:rsidRDefault="00474982">
      <w:pPr>
        <w:pStyle w:val="normal0"/>
        <w:widowControl w:val="0"/>
        <w:spacing w:after="16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This benchmark is met through the activities for benchmark 1.1.3.</w:t>
      </w:r>
    </w:p>
    <w:p w14:paraId="2917BD81" w14:textId="77777777" w:rsidR="0027239C" w:rsidRDefault="00474982">
      <w:pPr>
        <w:pStyle w:val="Heading1"/>
        <w:widowControl w:val="0"/>
        <w:spacing w:after="160"/>
        <w:rPr>
          <w:rFonts w:ascii="Roboto" w:eastAsia="Roboto" w:hAnsi="Roboto" w:cs="Roboto"/>
        </w:rPr>
      </w:pPr>
      <w:bookmarkStart w:id="0" w:name="_8xuot5pdp7xh" w:colFirst="0" w:colLast="0"/>
      <w:bookmarkEnd w:id="0"/>
      <w:r>
        <w:rPr>
          <w:rFonts w:ascii="Roboto" w:eastAsia="Roboto" w:hAnsi="Roboto" w:cs="Roboto"/>
        </w:rPr>
        <w:t>Supplemental Les</w:t>
      </w:r>
      <w:bookmarkStart w:id="1" w:name="_GoBack"/>
      <w:bookmarkEnd w:id="1"/>
      <w:r>
        <w:rPr>
          <w:rFonts w:ascii="Roboto" w:eastAsia="Roboto" w:hAnsi="Roboto" w:cs="Roboto"/>
        </w:rPr>
        <w:t>son Plans:</w:t>
      </w:r>
    </w:p>
    <w:p w14:paraId="0ECDCECA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Banzai (Teen)</w:t>
      </w:r>
    </w:p>
    <w:p w14:paraId="0882D575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This is a budgeting simulation that is free to be utilized for students 16-18 years of age.</w:t>
      </w:r>
    </w:p>
    <w:p w14:paraId="1E439437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Learning Intentions:</w:t>
      </w:r>
    </w:p>
    <w:p w14:paraId="2199C9FD" w14:textId="77777777" w:rsidR="0027239C" w:rsidRDefault="0047498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Manage credit, insurance and other expenditures.</w:t>
      </w:r>
    </w:p>
    <w:p w14:paraId="23E6B7BE" w14:textId="77777777" w:rsidR="0027239C" w:rsidRDefault="0047498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Demonstrate an understanding of spending and borrowing money. </w:t>
      </w:r>
    </w:p>
    <w:p w14:paraId="6523BCC7" w14:textId="77777777" w:rsidR="0027239C" w:rsidRDefault="0047498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Make decisions to budget money positively that includes setting goals.</w:t>
      </w:r>
    </w:p>
    <w:p w14:paraId="270E0672" w14:textId="77777777" w:rsidR="0027239C" w:rsidRDefault="0047498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Know where your money is and what it’s for, so you always know what you’re spending.</w:t>
      </w:r>
    </w:p>
    <w:p w14:paraId="601A0952" w14:textId="77777777" w:rsidR="0027239C" w:rsidRDefault="0047498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Recognize financial trade-offs, since not every financial decision is clearly good or bad.</w:t>
      </w:r>
    </w:p>
    <w:p w14:paraId="61E47AAF" w14:textId="77777777" w:rsidR="0027239C" w:rsidRDefault="0047498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282B33"/>
        </w:rPr>
        <w:t>Plan for the future, instead of looking at how much you’ve already spent.</w:t>
      </w:r>
    </w:p>
    <w:p w14:paraId="15437AFF" w14:textId="77777777" w:rsidR="0027239C" w:rsidRDefault="0027239C">
      <w:pPr>
        <w:pStyle w:val="normal0"/>
        <w:widowControl w:val="0"/>
        <w:rPr>
          <w:rFonts w:ascii="Roboto" w:eastAsia="Roboto" w:hAnsi="Roboto" w:cs="Roboto"/>
          <w:b/>
        </w:rPr>
      </w:pPr>
    </w:p>
    <w:p w14:paraId="58D23FEF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Pre-Assessments:</w:t>
      </w:r>
    </w:p>
    <w:p w14:paraId="14EB8F9D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Pre-Assessment provided by the simulation.</w:t>
      </w:r>
    </w:p>
    <w:p w14:paraId="2BF14112" w14:textId="1613F2DE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Teacher Answer Key </w:t>
      </w:r>
      <w:hyperlink r:id="rId8" w:tooltip="Pre-Assessment Answer Key">
        <w:r>
          <w:rPr>
            <w:rFonts w:ascii="Roboto" w:eastAsia="Roboto" w:hAnsi="Roboto" w:cs="Roboto"/>
            <w:color w:val="1155CC"/>
            <w:u w:val="single"/>
          </w:rPr>
          <w:t>Link</w:t>
        </w:r>
      </w:hyperlink>
    </w:p>
    <w:p w14:paraId="615A0A82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Formative Assessments:</w:t>
      </w:r>
    </w:p>
    <w:p w14:paraId="5651F531" w14:textId="77777777" w:rsidR="0027239C" w:rsidRDefault="0047498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Program allows for the teacher to monitor progress as the student is working.</w:t>
      </w:r>
    </w:p>
    <w:p w14:paraId="21383C15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Summative Assessment:</w:t>
      </w:r>
    </w:p>
    <w:p w14:paraId="0565BEF5" w14:textId="77777777" w:rsidR="0027239C" w:rsidRDefault="00474982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Post-Assessment completed by simulation.</w:t>
      </w:r>
    </w:p>
    <w:p w14:paraId="2B5B81DD" w14:textId="0AFB55F6" w:rsidR="0027239C" w:rsidRDefault="0047498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Teacher Answer </w:t>
      </w:r>
      <w:hyperlink r:id="rId9" w:tooltip="Post-Assessment Answer Key">
        <w:r>
          <w:rPr>
            <w:rFonts w:ascii="Roboto" w:eastAsia="Roboto" w:hAnsi="Roboto" w:cs="Roboto"/>
            <w:color w:val="1155CC"/>
            <w:u w:val="single"/>
          </w:rPr>
          <w:t>Key</w:t>
        </w:r>
      </w:hyperlink>
    </w:p>
    <w:p w14:paraId="7091D259" w14:textId="77777777" w:rsidR="0027239C" w:rsidRDefault="00474982">
      <w:pPr>
        <w:pStyle w:val="Heading2"/>
        <w:rPr>
          <w:rFonts w:ascii="Roboto" w:eastAsia="Roboto" w:hAnsi="Roboto" w:cs="Roboto"/>
        </w:rPr>
      </w:pPr>
      <w:bookmarkStart w:id="2" w:name="_cqbpkp3ix1km" w:colFirst="0" w:colLast="0"/>
      <w:bookmarkEnd w:id="2"/>
      <w:r>
        <w:rPr>
          <w:rFonts w:ascii="Roboto" w:eastAsia="Roboto" w:hAnsi="Roboto" w:cs="Roboto"/>
        </w:rPr>
        <w:t>Program Access and Pre-Assessment</w:t>
      </w:r>
    </w:p>
    <w:p w14:paraId="253FA315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make  decisions that help me manage money within a budget.</w:t>
      </w:r>
    </w:p>
    <w:p w14:paraId="1560351F" w14:textId="77777777" w:rsidR="0027239C" w:rsidRDefault="0047498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Web Resource: Banzai</w:t>
      </w:r>
    </w:p>
    <w:p w14:paraId="26E2AD98" w14:textId="3C7F8595" w:rsidR="0027239C" w:rsidRDefault="00B56118">
      <w:pPr>
        <w:pStyle w:val="normal0"/>
        <w:widowControl w:val="0"/>
        <w:rPr>
          <w:rFonts w:ascii="Roboto" w:eastAsia="Roboto" w:hAnsi="Roboto" w:cs="Roboto"/>
        </w:rPr>
      </w:pPr>
      <w:hyperlink r:id="rId10" w:tooltip="Student Scenario Guide">
        <w:r>
          <w:rPr>
            <w:rFonts w:ascii="Roboto" w:eastAsia="Roboto" w:hAnsi="Roboto" w:cs="Roboto"/>
            <w:color w:val="1155CC"/>
            <w:u w:val="single"/>
          </w:rPr>
          <w:t>Student Scenario Guide</w:t>
        </w:r>
      </w:hyperlink>
    </w:p>
    <w:p w14:paraId="612A770F" w14:textId="0A036438" w:rsidR="0027239C" w:rsidRDefault="00B56118">
      <w:pPr>
        <w:pStyle w:val="normal0"/>
        <w:widowControl w:val="0"/>
        <w:rPr>
          <w:rFonts w:ascii="Roboto" w:eastAsia="Roboto" w:hAnsi="Roboto" w:cs="Roboto"/>
        </w:rPr>
      </w:pPr>
      <w:hyperlink r:id="rId11" w:tooltip="Life Scenarios Teacher Guide">
        <w:r>
          <w:rPr>
            <w:rFonts w:ascii="Roboto" w:eastAsia="Roboto" w:hAnsi="Roboto" w:cs="Roboto"/>
            <w:color w:val="1155CC"/>
            <w:u w:val="single"/>
          </w:rPr>
          <w:t>Life Scenarios Teacher Guide</w:t>
        </w:r>
      </w:hyperlink>
      <w:r w:rsidR="00474982">
        <w:rPr>
          <w:rFonts w:ascii="Roboto" w:eastAsia="Roboto" w:hAnsi="Roboto" w:cs="Roboto"/>
        </w:rPr>
        <w:t xml:space="preserve"> </w:t>
      </w:r>
    </w:p>
    <w:p w14:paraId="3526684C" w14:textId="648C03ED" w:rsidR="0027239C" w:rsidRDefault="00B56118">
      <w:pPr>
        <w:pStyle w:val="normal0"/>
        <w:widowControl w:val="0"/>
        <w:rPr>
          <w:rFonts w:ascii="Roboto" w:eastAsia="Roboto" w:hAnsi="Roboto" w:cs="Roboto"/>
        </w:rPr>
      </w:pPr>
      <w:hyperlink r:id="rId12" w:tooltip="Top Questions">
        <w:r>
          <w:rPr>
            <w:rFonts w:ascii="Roboto" w:eastAsia="Roboto" w:hAnsi="Roboto" w:cs="Roboto"/>
            <w:color w:val="1155CC"/>
            <w:u w:val="single"/>
          </w:rPr>
          <w:t>Top Questions</w:t>
        </w:r>
      </w:hyperlink>
      <w:r w:rsidR="00474982">
        <w:rPr>
          <w:rFonts w:ascii="Roboto" w:eastAsia="Roboto" w:hAnsi="Roboto" w:cs="Roboto"/>
        </w:rPr>
        <w:t xml:space="preserve"> Provides additional information and lessons that are related to each of the areas of the simulation.</w:t>
      </w:r>
    </w:p>
    <w:p w14:paraId="1D7BEA07" w14:textId="77777777" w:rsidR="0027239C" w:rsidRDefault="0027239C">
      <w:pPr>
        <w:pStyle w:val="normal0"/>
        <w:widowControl w:val="0"/>
        <w:rPr>
          <w:rFonts w:ascii="Roboto" w:eastAsia="Roboto" w:hAnsi="Roboto" w:cs="Roboto"/>
        </w:rPr>
      </w:pPr>
    </w:p>
    <w:p w14:paraId="35CDCDC9" w14:textId="77777777" w:rsidR="0027239C" w:rsidRDefault="0047498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Community Resources: </w:t>
      </w:r>
      <w:r>
        <w:rPr>
          <w:rFonts w:ascii="Roboto" w:eastAsia="Roboto" w:hAnsi="Roboto" w:cs="Roboto"/>
        </w:rPr>
        <w:t>Bonzai will work with the teacher to locate a local sponsor for any written materials for the course. The teacher must contact Banzai for this to happen.</w:t>
      </w:r>
    </w:p>
    <w:sectPr w:rsidR="0027239C">
      <w:footerReference w:type="even" r:id="rId13"/>
      <w:footerReference w:type="default" r:id="rId14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27D1" w14:textId="77777777" w:rsidR="00975FF4" w:rsidRDefault="00474982">
      <w:r>
        <w:separator/>
      </w:r>
    </w:p>
  </w:endnote>
  <w:endnote w:type="continuationSeparator" w:id="0">
    <w:p w14:paraId="1E19FFF3" w14:textId="77777777" w:rsidR="00975FF4" w:rsidRDefault="0047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B2A9" w14:textId="77777777" w:rsidR="00474982" w:rsidRDefault="0047498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CF402" w14:textId="77777777" w:rsidR="00474982" w:rsidRDefault="00474982" w:rsidP="004749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ACFF" w14:textId="77777777" w:rsidR="00474982" w:rsidRDefault="0047498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1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F09DA3" w14:textId="77777777" w:rsidR="0027239C" w:rsidRDefault="00474982" w:rsidP="00474982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3671086B" wp14:editId="295CBBCD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C572F" w14:textId="77777777" w:rsidR="00975FF4" w:rsidRDefault="00474982">
      <w:r>
        <w:separator/>
      </w:r>
    </w:p>
  </w:footnote>
  <w:footnote w:type="continuationSeparator" w:id="0">
    <w:p w14:paraId="4EB21D88" w14:textId="77777777" w:rsidR="00975FF4" w:rsidRDefault="0047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93A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239C"/>
    <w:rsid w:val="0027239C"/>
    <w:rsid w:val="00474982"/>
    <w:rsid w:val="00975FF4"/>
    <w:rsid w:val="00B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5C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4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82"/>
  </w:style>
  <w:style w:type="character" w:styleId="PageNumber">
    <w:name w:val="page number"/>
    <w:basedOn w:val="DefaultParagraphFont"/>
    <w:uiPriority w:val="99"/>
    <w:semiHidden/>
    <w:unhideWhenUsed/>
    <w:rsid w:val="00474982"/>
  </w:style>
  <w:style w:type="paragraph" w:styleId="Header">
    <w:name w:val="header"/>
    <w:basedOn w:val="Normal"/>
    <w:link w:val="HeaderChar"/>
    <w:uiPriority w:val="99"/>
    <w:unhideWhenUsed/>
    <w:rsid w:val="00474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4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82"/>
  </w:style>
  <w:style w:type="character" w:styleId="PageNumber">
    <w:name w:val="page number"/>
    <w:basedOn w:val="DefaultParagraphFont"/>
    <w:uiPriority w:val="99"/>
    <w:semiHidden/>
    <w:unhideWhenUsed/>
    <w:rsid w:val="00474982"/>
  </w:style>
  <w:style w:type="paragraph" w:styleId="Header">
    <w:name w:val="header"/>
    <w:basedOn w:val="Normal"/>
    <w:link w:val="HeaderChar"/>
    <w:uiPriority w:val="99"/>
    <w:unhideWhenUsed/>
    <w:rsid w:val="00474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3.amazonaws.com/education-production/life-scenarios/Life_Scenarios_TeachersEdition.pdf" TargetMode="External"/><Relationship Id="rId12" Type="http://schemas.openxmlformats.org/officeDocument/2006/relationships/hyperlink" Target="https://help.teachbanzai.com/category/5-top-questions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file/d/1LBFQUp1zyzZ48Q4KNPosVd_ver0qFH3z/view?usp=sharing" TargetMode="External"/><Relationship Id="rId9" Type="http://schemas.openxmlformats.org/officeDocument/2006/relationships/hyperlink" Target="https://drive.google.com/open?id=1LBFQUp1zyzZ48Q4KNPosVd_ver0qFH3z" TargetMode="External"/><Relationship Id="rId10" Type="http://schemas.openxmlformats.org/officeDocument/2006/relationships/hyperlink" Target="https://drive.google.com/open?id=0B9mmxRL33QWeaU1vNXJYVFo2UX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2019-06-08T17:06:00Z</dcterms:created>
  <dcterms:modified xsi:type="dcterms:W3CDTF">2019-06-13T21:01:00Z</dcterms:modified>
</cp:coreProperties>
</file>