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85190" w14:textId="77777777" w:rsidR="00847E96" w:rsidRDefault="00847E96" w:rsidP="00847E96">
      <w:pPr>
        <w:pStyle w:val="Title"/>
      </w:pPr>
      <w:r>
        <w:t>Math Resources</w:t>
      </w:r>
    </w:p>
    <w:p w14:paraId="7AFDEABC" w14:textId="598C3047" w:rsidR="002C49CB" w:rsidRDefault="00847E96">
      <w:pPr>
        <w:pStyle w:val="normal0"/>
        <w:rPr>
          <w:rFonts w:ascii="Roboto" w:eastAsia="Roboto" w:hAnsi="Roboto" w:cs="Roboto"/>
        </w:rPr>
      </w:pPr>
      <w:r>
        <w:rPr>
          <w:rFonts w:ascii="Roboto" w:eastAsia="Roboto" w:hAnsi="Roboto" w:cs="Roboto"/>
        </w:rPr>
        <w:t xml:space="preserve">If you need additional resources to learn about and practice your Math skills, go to </w:t>
      </w:r>
      <w:hyperlink r:id="rId7" w:tooltip="HippoCampus">
        <w:r>
          <w:rPr>
            <w:rFonts w:ascii="Roboto" w:eastAsia="Roboto" w:hAnsi="Roboto" w:cs="Roboto"/>
            <w:color w:val="1155CC"/>
            <w:u w:val="single"/>
          </w:rPr>
          <w:t>https://www.hippocampus.org/HippoCampus/Arithmetic</w:t>
        </w:r>
      </w:hyperlink>
      <w:r>
        <w:rPr>
          <w:rFonts w:ascii="Roboto" w:eastAsia="Roboto" w:hAnsi="Roboto" w:cs="Roboto"/>
        </w:rPr>
        <w:t xml:space="preserve"> and select Developmental Math - Arithmetic in the NROC section. It is the first item.</w:t>
      </w:r>
    </w:p>
    <w:p w14:paraId="7A231E03" w14:textId="77777777" w:rsidR="002C49CB" w:rsidRDefault="002C49CB">
      <w:pPr>
        <w:pStyle w:val="normal0"/>
        <w:rPr>
          <w:rFonts w:ascii="Roboto" w:eastAsia="Roboto" w:hAnsi="Roboto" w:cs="Roboto"/>
        </w:rPr>
      </w:pPr>
    </w:p>
    <w:p w14:paraId="304352B3" w14:textId="0B9E9944" w:rsidR="002C49CB" w:rsidRDefault="00847E96">
      <w:pPr>
        <w:pStyle w:val="normal0"/>
        <w:rPr>
          <w:rFonts w:ascii="Roboto" w:eastAsia="Roboto" w:hAnsi="Roboto" w:cs="Roboto"/>
        </w:rPr>
      </w:pPr>
      <w:r>
        <w:rPr>
          <w:rFonts w:ascii="Roboto" w:eastAsia="Roboto" w:hAnsi="Roboto" w:cs="Roboto"/>
        </w:rPr>
        <w:t xml:space="preserve">If you are looking for some additional guidance, you can go to </w:t>
      </w:r>
      <w:hyperlink r:id="rId8" w:tooltip="EdReady - College and Career Readiness">
        <w:r>
          <w:rPr>
            <w:rFonts w:ascii="Roboto" w:eastAsia="Roboto" w:hAnsi="Roboto" w:cs="Roboto"/>
            <w:color w:val="1155CC"/>
            <w:u w:val="single"/>
          </w:rPr>
          <w:t>https://edready.org/home</w:t>
        </w:r>
      </w:hyperlink>
      <w:r>
        <w:rPr>
          <w:rFonts w:ascii="Roboto" w:eastAsia="Roboto" w:hAnsi="Roboto" w:cs="Roboto"/>
        </w:rPr>
        <w:t xml:space="preserve"> and click Get Started. From there you will take a pre-assessment and the system will identify any areas in Math where you may have some gaps. Then you will be presented with a learning pathway to master those skills and retest.</w:t>
      </w:r>
    </w:p>
    <w:p w14:paraId="21C86F60" w14:textId="77777777" w:rsidR="002C49CB" w:rsidRDefault="002C49CB">
      <w:pPr>
        <w:pStyle w:val="normal0"/>
        <w:rPr>
          <w:rFonts w:ascii="Roboto" w:eastAsia="Roboto" w:hAnsi="Roboto" w:cs="Roboto"/>
        </w:rPr>
      </w:pPr>
    </w:p>
    <w:p w14:paraId="21658141" w14:textId="77777777" w:rsidR="002C49CB" w:rsidRDefault="00847E96">
      <w:pPr>
        <w:pStyle w:val="normal0"/>
        <w:rPr>
          <w:rFonts w:ascii="Roboto" w:eastAsia="Roboto" w:hAnsi="Roboto" w:cs="Roboto"/>
        </w:rPr>
      </w:pPr>
      <w:r>
        <w:rPr>
          <w:rFonts w:ascii="Roboto" w:eastAsia="Roboto" w:hAnsi="Roboto" w:cs="Roboto"/>
        </w:rPr>
        <w:t>Those items are meant to prepare you for College Readiness - This is great for ACT; Accuplacer; or SAT prep. This will show you which schools your scores may qualify you for without having to take Developmental Math courses (those are courses you have to take in order to get placed in your college math. You pay fo</w:t>
      </w:r>
      <w:bookmarkStart w:id="0" w:name="_GoBack"/>
      <w:bookmarkEnd w:id="0"/>
      <w:r>
        <w:rPr>
          <w:rFonts w:ascii="Roboto" w:eastAsia="Roboto" w:hAnsi="Roboto" w:cs="Roboto"/>
        </w:rPr>
        <w:t>r those but earn no credit. The idea here is to get to a level where you don’t have to take those developmental courses.)</w:t>
      </w:r>
    </w:p>
    <w:sectPr w:rsidR="002C49CB">
      <w:footerReference w:type="even" r:id="rId9"/>
      <w:footerReference w:type="default" r:id="rId10"/>
      <w:pgSz w:w="12240" w:h="15840"/>
      <w:pgMar w:top="288" w:right="720" w:bottom="360" w:left="72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5F47A" w14:textId="77777777" w:rsidR="00A121BD" w:rsidRDefault="00847E96">
      <w:r>
        <w:separator/>
      </w:r>
    </w:p>
  </w:endnote>
  <w:endnote w:type="continuationSeparator" w:id="0">
    <w:p w14:paraId="024D1243" w14:textId="77777777" w:rsidR="00A121BD" w:rsidRDefault="0084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20147" w14:textId="77777777" w:rsidR="00847E96" w:rsidRDefault="00847E96"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7EEB7" w14:textId="77777777" w:rsidR="00847E96" w:rsidRDefault="00847E96" w:rsidP="00847E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8AA2" w14:textId="77777777" w:rsidR="00847E96" w:rsidRDefault="00847E96"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BE3">
      <w:rPr>
        <w:rStyle w:val="PageNumber"/>
        <w:noProof/>
      </w:rPr>
      <w:t>1</w:t>
    </w:r>
    <w:r>
      <w:rPr>
        <w:rStyle w:val="PageNumber"/>
      </w:rPr>
      <w:fldChar w:fldCharType="end"/>
    </w:r>
  </w:p>
  <w:p w14:paraId="6FF370FE" w14:textId="77777777" w:rsidR="002C49CB" w:rsidRDefault="00847E96" w:rsidP="00847E96">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3A6DB821" wp14:editId="1E3D9C56">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w:t>
    </w:r>
    <w:hyperlink r:id="rId2">
      <w:r>
        <w:rPr>
          <w:rFonts w:ascii="Roboto" w:eastAsia="Roboto" w:hAnsi="Roboto" w:cs="Roboto"/>
          <w:color w:val="1155CC"/>
          <w:sz w:val="16"/>
          <w:szCs w:val="16"/>
          <w:u w:val="single"/>
        </w:rPr>
        <w:t xml:space="preserve"> </w:t>
      </w:r>
    </w:hyperlink>
    <w:hyperlink r:id="rId3">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4">
      <w:r>
        <w:rPr>
          <w:rFonts w:ascii="Roboto" w:eastAsia="Roboto" w:hAnsi="Roboto" w:cs="Roboto"/>
          <w:sz w:val="16"/>
          <w:szCs w:val="16"/>
        </w:rPr>
        <w:t xml:space="preserve"> </w:t>
      </w:r>
    </w:hyperlink>
    <w:hyperlink r:id="rId5">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6">
      <w:r>
        <w:rPr>
          <w:rFonts w:ascii="Roboto" w:eastAsia="Roboto" w:hAnsi="Roboto" w:cs="Roboto"/>
          <w:sz w:val="16"/>
          <w:szCs w:val="16"/>
        </w:rPr>
        <w:t xml:space="preserve"> </w:t>
      </w:r>
    </w:hyperlink>
    <w:hyperlink r:id="rId7">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C6A1D" w14:textId="77777777" w:rsidR="00A121BD" w:rsidRDefault="00847E96">
      <w:r>
        <w:separator/>
      </w:r>
    </w:p>
  </w:footnote>
  <w:footnote w:type="continuationSeparator" w:id="0">
    <w:p w14:paraId="60BC8B0A" w14:textId="77777777" w:rsidR="00A121BD" w:rsidRDefault="0084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49CB"/>
    <w:rsid w:val="002C49CB"/>
    <w:rsid w:val="00394BE3"/>
    <w:rsid w:val="00847E96"/>
    <w:rsid w:val="00A1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96"/>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847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E96"/>
    <w:rPr>
      <w:rFonts w:ascii="Lucida Grande" w:hAnsi="Lucida Grande" w:cs="Lucida Grande"/>
      <w:sz w:val="18"/>
      <w:szCs w:val="18"/>
    </w:rPr>
  </w:style>
  <w:style w:type="paragraph" w:styleId="Footer">
    <w:name w:val="footer"/>
    <w:basedOn w:val="Normal"/>
    <w:link w:val="FooterChar"/>
    <w:uiPriority w:val="99"/>
    <w:unhideWhenUsed/>
    <w:rsid w:val="00847E96"/>
    <w:pPr>
      <w:tabs>
        <w:tab w:val="center" w:pos="4320"/>
        <w:tab w:val="right" w:pos="8640"/>
      </w:tabs>
    </w:pPr>
  </w:style>
  <w:style w:type="character" w:customStyle="1" w:styleId="FooterChar">
    <w:name w:val="Footer Char"/>
    <w:basedOn w:val="DefaultParagraphFont"/>
    <w:link w:val="Footer"/>
    <w:uiPriority w:val="99"/>
    <w:rsid w:val="00847E96"/>
  </w:style>
  <w:style w:type="character" w:styleId="PageNumber">
    <w:name w:val="page number"/>
    <w:basedOn w:val="DefaultParagraphFont"/>
    <w:uiPriority w:val="99"/>
    <w:semiHidden/>
    <w:unhideWhenUsed/>
    <w:rsid w:val="00847E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96"/>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847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E96"/>
    <w:rPr>
      <w:rFonts w:ascii="Lucida Grande" w:hAnsi="Lucida Grande" w:cs="Lucida Grande"/>
      <w:sz w:val="18"/>
      <w:szCs w:val="18"/>
    </w:rPr>
  </w:style>
  <w:style w:type="paragraph" w:styleId="Footer">
    <w:name w:val="footer"/>
    <w:basedOn w:val="Normal"/>
    <w:link w:val="FooterChar"/>
    <w:uiPriority w:val="99"/>
    <w:unhideWhenUsed/>
    <w:rsid w:val="00847E96"/>
    <w:pPr>
      <w:tabs>
        <w:tab w:val="center" w:pos="4320"/>
        <w:tab w:val="right" w:pos="8640"/>
      </w:tabs>
    </w:pPr>
  </w:style>
  <w:style w:type="character" w:customStyle="1" w:styleId="FooterChar">
    <w:name w:val="Footer Char"/>
    <w:basedOn w:val="DefaultParagraphFont"/>
    <w:link w:val="Footer"/>
    <w:uiPriority w:val="99"/>
    <w:rsid w:val="00847E96"/>
  </w:style>
  <w:style w:type="character" w:styleId="PageNumber">
    <w:name w:val="page number"/>
    <w:basedOn w:val="DefaultParagraphFont"/>
    <w:uiPriority w:val="99"/>
    <w:semiHidden/>
    <w:unhideWhenUsed/>
    <w:rsid w:val="0084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ippocampus.org/HippoCampus/Arithmetic" TargetMode="External"/><Relationship Id="rId8" Type="http://schemas.openxmlformats.org/officeDocument/2006/relationships/hyperlink" Target="https://edready.org/home"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education.mn.gov/mde/index.html" TargetMode="External"/><Relationship Id="rId4" Type="http://schemas.openxmlformats.org/officeDocument/2006/relationships/hyperlink" Target="http://mncollaborativecurriculum.org/" TargetMode="External"/><Relationship Id="rId5" Type="http://schemas.openxmlformats.org/officeDocument/2006/relationships/hyperlink" Target="http://mncollaborativecurriculum.org/" TargetMode="External"/><Relationship Id="rId6" Type="http://schemas.openxmlformats.org/officeDocument/2006/relationships/hyperlink" Target="http://creativecommons.org/licenses/by-nc/4.0/" TargetMode="External"/><Relationship Id="rId7"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993</Characters>
  <Application>Microsoft Macintosh Word</Application>
  <DocSecurity>0</DocSecurity>
  <Lines>8</Lines>
  <Paragraphs>2</Paragraphs>
  <ScaleCrop>false</ScaleCrop>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2019-06-08T17:41:00Z</dcterms:created>
  <dcterms:modified xsi:type="dcterms:W3CDTF">2019-06-13T15:08:00Z</dcterms:modified>
</cp:coreProperties>
</file>